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25" w:after="225" w:line="390" w:lineRule="atLeast"/>
        <w:jc w:val="center"/>
        <w:outlineLvl w:val="0"/>
        <w:rPr>
          <w:rFonts w:ascii="Arial" w:hAnsi="Arial" w:eastAsia="黑体" w:cs="Arial"/>
          <w:b/>
          <w:kern w:val="36"/>
          <w:sz w:val="32"/>
          <w:szCs w:val="36"/>
        </w:rPr>
      </w:pPr>
      <w:r>
        <w:rPr>
          <w:rFonts w:ascii="Arial" w:hAnsi="Arial" w:eastAsia="黑体" w:cs="Arial"/>
          <w:b/>
          <w:kern w:val="36"/>
          <w:sz w:val="32"/>
          <w:szCs w:val="36"/>
        </w:rPr>
        <w:t>2017</w:t>
      </w:r>
      <w:r>
        <w:rPr>
          <w:rFonts w:ascii="Arial" w:hAnsi="黑体" w:eastAsia="黑体" w:cs="Arial"/>
          <w:b/>
          <w:kern w:val="36"/>
          <w:sz w:val="32"/>
          <w:szCs w:val="36"/>
        </w:rPr>
        <w:t>年度</w:t>
      </w:r>
      <w:r>
        <w:rPr>
          <w:rFonts w:ascii="Arial" w:hAnsi="Arial" w:eastAsia="黑体" w:cs="Arial"/>
          <w:b/>
          <w:kern w:val="36"/>
          <w:sz w:val="32"/>
          <w:szCs w:val="36"/>
        </w:rPr>
        <w:t>“</w:t>
      </w:r>
      <w:r>
        <w:rPr>
          <w:rFonts w:ascii="Arial" w:hAnsi="黑体" w:eastAsia="黑体" w:cs="Arial"/>
          <w:b/>
          <w:kern w:val="36"/>
          <w:sz w:val="32"/>
          <w:szCs w:val="36"/>
        </w:rPr>
        <w:t>中国生命科学领域十大进展</w:t>
      </w:r>
      <w:r>
        <w:rPr>
          <w:rFonts w:ascii="Arial" w:hAnsi="Arial" w:eastAsia="黑体" w:cs="Arial"/>
          <w:b/>
          <w:kern w:val="36"/>
          <w:sz w:val="32"/>
          <w:szCs w:val="36"/>
        </w:rPr>
        <w:t>”</w:t>
      </w:r>
      <w:r>
        <w:rPr>
          <w:rFonts w:ascii="Arial" w:hAnsi="黑体" w:eastAsia="黑体" w:cs="Arial"/>
          <w:b/>
          <w:kern w:val="36"/>
          <w:sz w:val="32"/>
          <w:szCs w:val="36"/>
        </w:rPr>
        <w:t>推荐表</w:t>
      </w:r>
    </w:p>
    <w:tbl>
      <w:tblPr>
        <w:tblStyle w:val="5"/>
        <w:tblW w:w="9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1082"/>
        <w:gridCol w:w="426"/>
        <w:gridCol w:w="2835"/>
        <w:gridCol w:w="3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1649" w:type="dxa"/>
            <w:shd w:val="clear" w:color="auto" w:fill="auto"/>
            <w:vAlign w:val="center"/>
          </w:tcPr>
          <w:p>
            <w:pPr>
              <w:spacing w:line="360" w:lineRule="exact"/>
              <w:rPr>
                <w:rFonts w:ascii="黑体" w:hAnsi="黑体" w:eastAsia="黑体"/>
                <w:b/>
                <w:sz w:val="28"/>
                <w:szCs w:val="28"/>
              </w:rPr>
            </w:pPr>
            <w:r>
              <w:rPr>
                <w:rFonts w:ascii="黑体" w:hAnsi="黑体" w:eastAsia="黑体"/>
                <w:b/>
                <w:sz w:val="28"/>
                <w:szCs w:val="28"/>
              </w:rPr>
              <w:t>项目名称</w:t>
            </w:r>
          </w:p>
          <w:p>
            <w:pPr>
              <w:spacing w:line="360" w:lineRule="exact"/>
              <w:rPr>
                <w:rFonts w:ascii="宋体" w:hAnsi="宋体"/>
                <w:b/>
                <w:sz w:val="28"/>
                <w:szCs w:val="28"/>
              </w:rPr>
            </w:pPr>
            <w:r>
              <w:rPr>
                <w:rFonts w:ascii="宋体" w:hAnsi="宋体"/>
                <w:sz w:val="28"/>
                <w:szCs w:val="28"/>
              </w:rPr>
              <w:t>（中文）</w:t>
            </w:r>
          </w:p>
        </w:tc>
        <w:tc>
          <w:tcPr>
            <w:tcW w:w="7582" w:type="dxa"/>
            <w:gridSpan w:val="4"/>
            <w:shd w:val="clear" w:color="auto" w:fill="auto"/>
            <w:vAlign w:val="center"/>
          </w:tcPr>
          <w:p>
            <w:pPr>
              <w:jc w:val="center"/>
              <w:rPr>
                <w:rFonts w:ascii="Times New Roman" w:hAnsi="Times New Roman"/>
                <w:sz w:val="28"/>
                <w:szCs w:val="28"/>
              </w:rPr>
            </w:pPr>
            <w:r>
              <w:rPr>
                <w:rFonts w:ascii="Times New Roman" w:hAnsi="宋体"/>
                <w:sz w:val="28"/>
                <w:szCs w:val="28"/>
              </w:rPr>
              <w:t>病原菌致病的全新机制</w:t>
            </w:r>
            <w:r>
              <w:rPr>
                <w:rFonts w:ascii="Times New Roman" w:hAnsi="Times New Roman"/>
                <w:sz w:val="28"/>
                <w:szCs w:val="28"/>
              </w:rPr>
              <w:t>——</w:t>
            </w:r>
            <w:r>
              <w:rPr>
                <w:rFonts w:ascii="Times New Roman" w:hAnsi="宋体"/>
                <w:sz w:val="28"/>
                <w:szCs w:val="28"/>
              </w:rPr>
              <w:t>诱饵模式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649" w:type="dxa"/>
            <w:vMerge w:val="restart"/>
            <w:shd w:val="clear" w:color="auto" w:fill="auto"/>
            <w:vAlign w:val="center"/>
          </w:tcPr>
          <w:p>
            <w:pPr>
              <w:jc w:val="center"/>
              <w:rPr>
                <w:rFonts w:ascii="黑体" w:hAnsi="黑体" w:eastAsia="黑体"/>
                <w:b/>
                <w:sz w:val="28"/>
                <w:szCs w:val="28"/>
              </w:rPr>
            </w:pPr>
            <w:r>
              <w:rPr>
                <w:rFonts w:ascii="黑体" w:hAnsi="黑体" w:eastAsia="黑体"/>
                <w:b/>
                <w:sz w:val="28"/>
                <w:szCs w:val="28"/>
              </w:rPr>
              <w:t>主要</w:t>
            </w:r>
          </w:p>
          <w:p>
            <w:pPr>
              <w:jc w:val="center"/>
              <w:rPr>
                <w:rFonts w:ascii="黑体" w:hAnsi="黑体" w:eastAsia="黑体"/>
                <w:b/>
                <w:sz w:val="28"/>
                <w:szCs w:val="28"/>
                <w:highlight w:val="yellow"/>
              </w:rPr>
            </w:pPr>
            <w:r>
              <w:rPr>
                <w:rFonts w:ascii="黑体" w:hAnsi="黑体" w:eastAsia="黑体"/>
                <w:b/>
                <w:sz w:val="28"/>
                <w:szCs w:val="28"/>
              </w:rPr>
              <w:t>完成人</w:t>
            </w:r>
          </w:p>
        </w:tc>
        <w:tc>
          <w:tcPr>
            <w:tcW w:w="1508" w:type="dxa"/>
            <w:gridSpan w:val="2"/>
            <w:shd w:val="clear" w:color="auto" w:fill="auto"/>
            <w:vAlign w:val="center"/>
          </w:tcPr>
          <w:p>
            <w:pPr>
              <w:jc w:val="center"/>
              <w:rPr>
                <w:rFonts w:ascii="Times New Roman" w:hAnsi="Times New Roman"/>
                <w:sz w:val="28"/>
                <w:szCs w:val="28"/>
              </w:rPr>
            </w:pPr>
            <w:r>
              <w:rPr>
                <w:rFonts w:ascii="Times New Roman" w:hAnsi="宋体"/>
                <w:sz w:val="28"/>
                <w:szCs w:val="28"/>
              </w:rPr>
              <w:t>姓名</w:t>
            </w:r>
          </w:p>
        </w:tc>
        <w:tc>
          <w:tcPr>
            <w:tcW w:w="2835" w:type="dxa"/>
            <w:shd w:val="clear" w:color="auto" w:fill="auto"/>
            <w:vAlign w:val="center"/>
          </w:tcPr>
          <w:p>
            <w:pPr>
              <w:jc w:val="center"/>
              <w:rPr>
                <w:rFonts w:ascii="Times New Roman" w:hAnsi="Times New Roman"/>
                <w:sz w:val="28"/>
                <w:szCs w:val="28"/>
              </w:rPr>
            </w:pPr>
            <w:r>
              <w:rPr>
                <w:rFonts w:ascii="Times New Roman" w:hAnsi="宋体"/>
                <w:sz w:val="28"/>
                <w:szCs w:val="28"/>
              </w:rPr>
              <w:t>工作单位</w:t>
            </w:r>
          </w:p>
        </w:tc>
        <w:tc>
          <w:tcPr>
            <w:tcW w:w="3239" w:type="dxa"/>
          </w:tcPr>
          <w:p>
            <w:pPr>
              <w:adjustRightInd w:val="0"/>
              <w:snapToGrid w:val="0"/>
              <w:spacing w:before="156" w:beforeLines="50"/>
              <w:jc w:val="center"/>
              <w:rPr>
                <w:rFonts w:ascii="Times New Roman" w:hAnsi="Times New Roman"/>
                <w:sz w:val="28"/>
                <w:szCs w:val="28"/>
              </w:rPr>
            </w:pPr>
            <w:r>
              <w:rPr>
                <w:rFonts w:ascii="Times New Roman" w:hAnsi="宋体"/>
                <w:sz w:val="28"/>
                <w:szCs w:val="28"/>
              </w:rPr>
              <w:t>项目负责人联系电话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49" w:type="dxa"/>
            <w:vMerge w:val="continue"/>
            <w:shd w:val="clear" w:color="auto" w:fill="auto"/>
            <w:vAlign w:val="center"/>
          </w:tcPr>
          <w:p>
            <w:pPr>
              <w:rPr>
                <w:rFonts w:ascii="宋体" w:hAnsi="宋体"/>
                <w:sz w:val="28"/>
                <w:szCs w:val="28"/>
              </w:rPr>
            </w:pPr>
          </w:p>
        </w:tc>
        <w:tc>
          <w:tcPr>
            <w:tcW w:w="1508" w:type="dxa"/>
            <w:gridSpan w:val="2"/>
            <w:shd w:val="clear" w:color="auto" w:fill="auto"/>
            <w:vAlign w:val="center"/>
          </w:tcPr>
          <w:p>
            <w:pPr>
              <w:jc w:val="center"/>
              <w:rPr>
                <w:rFonts w:ascii="Times New Roman" w:hAnsi="Times New Roman"/>
                <w:sz w:val="28"/>
                <w:szCs w:val="28"/>
              </w:rPr>
            </w:pPr>
            <w:r>
              <w:rPr>
                <w:rFonts w:ascii="Times New Roman" w:hAnsi="宋体"/>
                <w:sz w:val="28"/>
                <w:szCs w:val="28"/>
              </w:rPr>
              <w:t>王源超</w:t>
            </w:r>
          </w:p>
        </w:tc>
        <w:tc>
          <w:tcPr>
            <w:tcW w:w="2835" w:type="dxa"/>
            <w:shd w:val="clear" w:color="auto" w:fill="auto"/>
            <w:vAlign w:val="center"/>
          </w:tcPr>
          <w:p>
            <w:pPr>
              <w:jc w:val="center"/>
              <w:rPr>
                <w:rFonts w:ascii="Times New Roman" w:hAnsi="Times New Roman"/>
                <w:sz w:val="28"/>
                <w:szCs w:val="28"/>
              </w:rPr>
            </w:pPr>
            <w:r>
              <w:rPr>
                <w:rFonts w:ascii="Times New Roman" w:hAnsi="宋体"/>
                <w:sz w:val="28"/>
                <w:szCs w:val="28"/>
              </w:rPr>
              <w:t>南京农业大学</w:t>
            </w:r>
          </w:p>
        </w:tc>
        <w:tc>
          <w:tcPr>
            <w:tcW w:w="3239" w:type="dxa"/>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49" w:type="dxa"/>
            <w:vMerge w:val="continue"/>
            <w:shd w:val="clear" w:color="auto" w:fill="auto"/>
            <w:vAlign w:val="center"/>
          </w:tcPr>
          <w:p>
            <w:pPr>
              <w:rPr>
                <w:rFonts w:ascii="宋体" w:hAnsi="宋体"/>
                <w:sz w:val="28"/>
                <w:szCs w:val="28"/>
              </w:rPr>
            </w:pPr>
          </w:p>
        </w:tc>
        <w:tc>
          <w:tcPr>
            <w:tcW w:w="1508" w:type="dxa"/>
            <w:gridSpan w:val="2"/>
            <w:shd w:val="clear" w:color="auto" w:fill="auto"/>
            <w:vAlign w:val="center"/>
          </w:tcPr>
          <w:p>
            <w:pPr>
              <w:jc w:val="center"/>
              <w:rPr>
                <w:rFonts w:ascii="Times New Roman" w:hAnsi="Times New Roman"/>
                <w:sz w:val="28"/>
                <w:szCs w:val="28"/>
              </w:rPr>
            </w:pPr>
            <w:r>
              <w:rPr>
                <w:rFonts w:ascii="Times New Roman" w:hAnsi="Times New Roman"/>
                <w:sz w:val="28"/>
                <w:szCs w:val="28"/>
              </w:rPr>
              <w:t>马振川</w:t>
            </w:r>
          </w:p>
        </w:tc>
        <w:tc>
          <w:tcPr>
            <w:tcW w:w="2835" w:type="dxa"/>
            <w:shd w:val="clear" w:color="auto" w:fill="auto"/>
            <w:vAlign w:val="center"/>
          </w:tcPr>
          <w:p>
            <w:pPr>
              <w:jc w:val="center"/>
              <w:rPr>
                <w:rFonts w:ascii="Times New Roman" w:hAnsi="Times New Roman"/>
                <w:sz w:val="28"/>
                <w:szCs w:val="28"/>
              </w:rPr>
            </w:pPr>
            <w:r>
              <w:rPr>
                <w:rFonts w:ascii="Times New Roman" w:hAnsi="Times New Roman"/>
                <w:sz w:val="28"/>
                <w:szCs w:val="28"/>
              </w:rPr>
              <w:t>南京农业大学</w:t>
            </w:r>
          </w:p>
        </w:tc>
        <w:tc>
          <w:tcPr>
            <w:tcW w:w="3239" w:type="dxa"/>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49" w:type="dxa"/>
            <w:vMerge w:val="continue"/>
            <w:shd w:val="clear" w:color="auto" w:fill="auto"/>
            <w:vAlign w:val="center"/>
          </w:tcPr>
          <w:p>
            <w:pPr>
              <w:rPr>
                <w:rFonts w:ascii="宋体" w:hAnsi="宋体"/>
                <w:sz w:val="28"/>
                <w:szCs w:val="28"/>
              </w:rPr>
            </w:pPr>
          </w:p>
        </w:tc>
        <w:tc>
          <w:tcPr>
            <w:tcW w:w="1508" w:type="dxa"/>
            <w:gridSpan w:val="2"/>
            <w:shd w:val="clear" w:color="auto" w:fill="auto"/>
            <w:vAlign w:val="center"/>
          </w:tcPr>
          <w:p>
            <w:pPr>
              <w:jc w:val="center"/>
              <w:rPr>
                <w:rFonts w:ascii="Times New Roman" w:hAnsi="Times New Roman"/>
                <w:sz w:val="28"/>
                <w:szCs w:val="28"/>
              </w:rPr>
            </w:pPr>
            <w:r>
              <w:rPr>
                <w:rFonts w:ascii="Times New Roman" w:hAnsi="Times New Roman"/>
                <w:sz w:val="28"/>
                <w:szCs w:val="28"/>
              </w:rPr>
              <w:t>叶文武</w:t>
            </w:r>
          </w:p>
        </w:tc>
        <w:tc>
          <w:tcPr>
            <w:tcW w:w="2835" w:type="dxa"/>
            <w:shd w:val="clear" w:color="auto" w:fill="auto"/>
            <w:vAlign w:val="center"/>
          </w:tcPr>
          <w:p>
            <w:pPr>
              <w:jc w:val="center"/>
              <w:rPr>
                <w:rFonts w:ascii="Times New Roman" w:hAnsi="Times New Roman"/>
                <w:sz w:val="28"/>
                <w:szCs w:val="28"/>
              </w:rPr>
            </w:pPr>
            <w:r>
              <w:rPr>
                <w:rFonts w:ascii="Times New Roman" w:hAnsi="Times New Roman"/>
                <w:sz w:val="28"/>
                <w:szCs w:val="28"/>
              </w:rPr>
              <w:t>南京农业大学</w:t>
            </w:r>
          </w:p>
        </w:tc>
        <w:tc>
          <w:tcPr>
            <w:tcW w:w="3239" w:type="dxa"/>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49" w:type="dxa"/>
            <w:vMerge w:val="continue"/>
            <w:shd w:val="clear" w:color="auto" w:fill="auto"/>
            <w:vAlign w:val="center"/>
          </w:tcPr>
          <w:p>
            <w:pPr>
              <w:rPr>
                <w:rFonts w:ascii="宋体" w:hAnsi="宋体"/>
                <w:sz w:val="28"/>
                <w:szCs w:val="28"/>
              </w:rPr>
            </w:pPr>
          </w:p>
        </w:tc>
        <w:tc>
          <w:tcPr>
            <w:tcW w:w="1508" w:type="dxa"/>
            <w:gridSpan w:val="2"/>
            <w:shd w:val="clear" w:color="auto" w:fill="auto"/>
            <w:vAlign w:val="center"/>
          </w:tcPr>
          <w:p>
            <w:pPr>
              <w:jc w:val="center"/>
              <w:rPr>
                <w:rFonts w:ascii="Times New Roman" w:hAnsi="Times New Roman"/>
                <w:sz w:val="28"/>
                <w:szCs w:val="28"/>
              </w:rPr>
            </w:pPr>
            <w:r>
              <w:rPr>
                <w:rFonts w:ascii="Times New Roman" w:hAnsi="Times New Roman"/>
                <w:sz w:val="28"/>
                <w:szCs w:val="28"/>
              </w:rPr>
              <w:t>王燕</w:t>
            </w:r>
          </w:p>
        </w:tc>
        <w:tc>
          <w:tcPr>
            <w:tcW w:w="2835" w:type="dxa"/>
            <w:shd w:val="clear" w:color="auto" w:fill="auto"/>
            <w:vAlign w:val="center"/>
          </w:tcPr>
          <w:p>
            <w:pPr>
              <w:jc w:val="center"/>
              <w:rPr>
                <w:rFonts w:ascii="Times New Roman" w:hAnsi="Times New Roman"/>
                <w:sz w:val="28"/>
                <w:szCs w:val="28"/>
              </w:rPr>
            </w:pPr>
            <w:r>
              <w:rPr>
                <w:rFonts w:ascii="Times New Roman" w:hAnsi="Times New Roman"/>
                <w:sz w:val="28"/>
                <w:szCs w:val="28"/>
              </w:rPr>
              <w:t>南京农业大学</w:t>
            </w:r>
          </w:p>
        </w:tc>
        <w:tc>
          <w:tcPr>
            <w:tcW w:w="3239" w:type="dxa"/>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jc w:val="center"/>
        </w:trPr>
        <w:tc>
          <w:tcPr>
            <w:tcW w:w="1649" w:type="dxa"/>
            <w:vMerge w:val="continue"/>
            <w:shd w:val="clear" w:color="auto" w:fill="auto"/>
            <w:vAlign w:val="center"/>
          </w:tcPr>
          <w:p>
            <w:pPr>
              <w:rPr>
                <w:rFonts w:ascii="宋体" w:hAnsi="宋体"/>
                <w:sz w:val="28"/>
                <w:szCs w:val="28"/>
              </w:rPr>
            </w:pPr>
          </w:p>
        </w:tc>
        <w:tc>
          <w:tcPr>
            <w:tcW w:w="1508" w:type="dxa"/>
            <w:gridSpan w:val="2"/>
            <w:shd w:val="clear" w:color="auto" w:fill="auto"/>
            <w:vAlign w:val="center"/>
          </w:tcPr>
          <w:p>
            <w:pPr>
              <w:jc w:val="center"/>
              <w:rPr>
                <w:rFonts w:ascii="Times New Roman" w:hAnsi="Times New Roman"/>
                <w:sz w:val="28"/>
                <w:szCs w:val="28"/>
              </w:rPr>
            </w:pPr>
            <w:r>
              <w:rPr>
                <w:rFonts w:ascii="Times New Roman" w:hAnsi="Times New Roman"/>
                <w:sz w:val="28"/>
                <w:szCs w:val="28"/>
              </w:rPr>
              <w:t>董莎萌</w:t>
            </w:r>
          </w:p>
        </w:tc>
        <w:tc>
          <w:tcPr>
            <w:tcW w:w="2835" w:type="dxa"/>
            <w:shd w:val="clear" w:color="auto" w:fill="auto"/>
            <w:vAlign w:val="center"/>
          </w:tcPr>
          <w:p>
            <w:pPr>
              <w:jc w:val="center"/>
              <w:rPr>
                <w:rFonts w:ascii="Times New Roman" w:hAnsi="Times New Roman"/>
                <w:sz w:val="28"/>
                <w:szCs w:val="28"/>
              </w:rPr>
            </w:pPr>
            <w:r>
              <w:rPr>
                <w:rFonts w:ascii="Times New Roman" w:hAnsi="Times New Roman"/>
                <w:sz w:val="28"/>
                <w:szCs w:val="28"/>
              </w:rPr>
              <w:t>南京农业大学</w:t>
            </w:r>
          </w:p>
        </w:tc>
        <w:tc>
          <w:tcPr>
            <w:tcW w:w="3239" w:type="dxa"/>
          </w:tcPr>
          <w:p>
            <w:pPr>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0" w:hRule="atLeast"/>
          <w:jc w:val="center"/>
        </w:trPr>
        <w:tc>
          <w:tcPr>
            <w:tcW w:w="9231" w:type="dxa"/>
            <w:gridSpan w:val="5"/>
            <w:shd w:val="clear" w:color="auto" w:fill="auto"/>
          </w:tcPr>
          <w:p>
            <w:pPr>
              <w:rPr>
                <w:rFonts w:ascii="Times New Roman" w:hAnsi="Times New Roman"/>
                <w:sz w:val="28"/>
                <w:szCs w:val="28"/>
              </w:rPr>
            </w:pPr>
            <w:r>
              <w:rPr>
                <w:rFonts w:ascii="Times New Roman" w:hAnsi="黑体" w:eastAsia="黑体"/>
                <w:b/>
                <w:sz w:val="28"/>
                <w:szCs w:val="28"/>
              </w:rPr>
              <w:t>项目的特色、创新点及重大科学意义</w:t>
            </w:r>
            <w:r>
              <w:rPr>
                <w:rFonts w:ascii="Times New Roman" w:hAnsi="宋体"/>
                <w:sz w:val="28"/>
                <w:szCs w:val="28"/>
              </w:rPr>
              <w:t>（限中文</w:t>
            </w:r>
            <w:r>
              <w:rPr>
                <w:rFonts w:ascii="Times New Roman" w:hAnsi="Times New Roman"/>
                <w:sz w:val="28"/>
                <w:szCs w:val="28"/>
              </w:rPr>
              <w:t>300</w:t>
            </w:r>
            <w:r>
              <w:rPr>
                <w:rFonts w:ascii="Times New Roman" w:hAnsi="宋体"/>
                <w:sz w:val="28"/>
                <w:szCs w:val="28"/>
              </w:rPr>
              <w:t>字）</w:t>
            </w:r>
          </w:p>
          <w:p>
            <w:pPr>
              <w:spacing w:before="156" w:beforeLines="50" w:after="156" w:afterLines="50" w:line="360" w:lineRule="auto"/>
              <w:ind w:firstLine="560" w:firstLineChars="200"/>
              <w:rPr>
                <w:rFonts w:ascii="Times New Roman" w:hAnsi="Times New Roman" w:eastAsia="黑体"/>
                <w:b/>
                <w:sz w:val="28"/>
                <w:szCs w:val="28"/>
              </w:rPr>
            </w:pPr>
            <w:r>
              <w:rPr>
                <w:rFonts w:ascii="Times New Roman" w:hAnsi="Times New Roman"/>
                <w:sz w:val="28"/>
                <w:szCs w:val="28"/>
              </w:rPr>
              <w:t>疫霉菌能侵染数百种重要农作物，由于</w:t>
            </w:r>
            <w:bookmarkStart w:id="0" w:name="_GoBack"/>
            <w:bookmarkEnd w:id="0"/>
            <w:r>
              <w:rPr>
                <w:rFonts w:ascii="Times New Roman" w:hAnsi="Times New Roman"/>
                <w:sz w:val="28"/>
                <w:szCs w:val="28"/>
              </w:rPr>
              <w:t>缺乏有效的病害控制技术，每年在全球造成200多亿美元的损失，是粮食和生态安全的重要威胁。</w:t>
            </w:r>
            <w:r>
              <w:rPr>
                <w:rFonts w:hint="eastAsia" w:ascii="Times New Roman" w:hAnsi="Times New Roman"/>
                <w:sz w:val="28"/>
                <w:szCs w:val="28"/>
              </w:rPr>
              <w:t>南京农业大学王源超教授团队</w:t>
            </w:r>
            <w:r>
              <w:rPr>
                <w:rFonts w:ascii="Times New Roman" w:hAnsi="Times New Roman"/>
                <w:sz w:val="28"/>
                <w:szCs w:val="28"/>
              </w:rPr>
              <w:t>系统</w:t>
            </w:r>
            <w:r>
              <w:rPr>
                <w:rFonts w:hint="eastAsia" w:ascii="Times New Roman" w:hAnsi="Times New Roman"/>
                <w:sz w:val="28"/>
                <w:szCs w:val="28"/>
              </w:rPr>
              <w:t>研究</w:t>
            </w:r>
            <w:r>
              <w:rPr>
                <w:rFonts w:ascii="Times New Roman" w:hAnsi="Times New Roman"/>
                <w:sz w:val="28"/>
                <w:szCs w:val="28"/>
              </w:rPr>
              <w:t>了</w:t>
            </w:r>
            <w:r>
              <w:rPr>
                <w:rFonts w:hint="eastAsia" w:ascii="Times New Roman" w:hAnsi="Times New Roman"/>
                <w:sz w:val="28"/>
                <w:szCs w:val="28"/>
              </w:rPr>
              <w:t>疫霉菌致病因子</w:t>
            </w:r>
            <w:r>
              <w:rPr>
                <w:rFonts w:ascii="Times New Roman" w:hAnsi="Times New Roman"/>
                <w:sz w:val="28"/>
                <w:szCs w:val="28"/>
              </w:rPr>
              <w:t>的作用机理及其与植物抗病性的协同进化机制，</w:t>
            </w:r>
            <w:r>
              <w:rPr>
                <w:rFonts w:hint="eastAsia" w:ascii="Times New Roman" w:hAnsi="Times New Roman"/>
                <w:sz w:val="28"/>
                <w:szCs w:val="28"/>
              </w:rPr>
              <w:t>首次</w:t>
            </w:r>
            <w:r>
              <w:rPr>
                <w:rFonts w:ascii="Times New Roman" w:hAnsi="Times New Roman"/>
                <w:sz w:val="28"/>
                <w:szCs w:val="28"/>
              </w:rPr>
              <w:t>发现</w:t>
            </w:r>
            <w:r>
              <w:rPr>
                <w:rFonts w:hint="eastAsia" w:ascii="Times New Roman" w:hAnsi="Times New Roman"/>
                <w:sz w:val="28"/>
                <w:szCs w:val="28"/>
              </w:rPr>
              <w:t>：</w:t>
            </w:r>
            <w:r>
              <w:rPr>
                <w:rFonts w:ascii="Times New Roman" w:hAnsi="Times New Roman"/>
                <w:sz w:val="28"/>
                <w:szCs w:val="28"/>
              </w:rPr>
              <w:t>疫霉菌在侵染早期分泌糖基水解酶XEG1降解植物细胞壁以帮助侵染，植物则分泌抑制子GIP1抑制XEG1的活性；疫霉菌可同时分泌XEG1的失活突变体XLP1充当分子诱饵，吸引植物抑制子GIP1，从而保护糖基水解酶</w:t>
            </w:r>
            <w:r>
              <w:rPr>
                <w:rFonts w:hint="eastAsia" w:ascii="Times New Roman" w:hAnsi="Times New Roman"/>
                <w:sz w:val="28"/>
                <w:szCs w:val="28"/>
              </w:rPr>
              <w:t>XEG1，</w:t>
            </w:r>
            <w:r>
              <w:rPr>
                <w:rFonts w:ascii="Times New Roman" w:hAnsi="Times New Roman"/>
                <w:sz w:val="28"/>
                <w:szCs w:val="28"/>
              </w:rPr>
              <w:t>与XEG1协同攻击植物抗病性。提出的“诱饵模式”是病原菌致病的一种全新机制，不但对改良作物持久抗病性具有重要指导意义，也为未来开发新型生物农药提供了新的材料与线索。相关</w:t>
            </w:r>
            <w:r>
              <w:rPr>
                <w:rFonts w:hint="eastAsia" w:ascii="Times New Roman" w:hAnsi="Times New Roman"/>
                <w:sz w:val="28"/>
                <w:szCs w:val="28"/>
              </w:rPr>
              <w:t>成果在《科学》（Science，</w:t>
            </w:r>
            <w:r>
              <w:rPr>
                <w:rFonts w:ascii="Times New Roman" w:hAnsi="Times New Roman"/>
                <w:sz w:val="28"/>
                <w:szCs w:val="28"/>
              </w:rPr>
              <w:t>2017, 355(6326)</w:t>
            </w:r>
            <w:r>
              <w:rPr>
                <w:rFonts w:hint="eastAsia" w:ascii="Times New Roman" w:hAnsi="Times New Roman"/>
                <w:sz w:val="28"/>
                <w:szCs w:val="28"/>
              </w:rPr>
              <w:t xml:space="preserve">: </w:t>
            </w:r>
            <w:r>
              <w:rPr>
                <w:rFonts w:ascii="Times New Roman" w:hAnsi="Times New Roman"/>
                <w:sz w:val="28"/>
                <w:szCs w:val="28"/>
              </w:rPr>
              <w:t>710-714</w:t>
            </w:r>
            <w:r>
              <w:rPr>
                <w:rFonts w:hint="eastAsia" w:ascii="Times New Roman" w:hAnsi="Times New Roman"/>
                <w:sz w:val="28"/>
                <w:szCs w:val="28"/>
              </w:rPr>
              <w:t>）等杂志上发表。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2" w:hRule="atLeast"/>
          <w:jc w:val="center"/>
        </w:trPr>
        <w:tc>
          <w:tcPr>
            <w:tcW w:w="9231" w:type="dxa"/>
            <w:gridSpan w:val="5"/>
            <w:shd w:val="clear" w:color="auto" w:fill="auto"/>
          </w:tcPr>
          <w:p>
            <w:pPr>
              <w:rPr>
                <w:rFonts w:ascii="宋体" w:hAnsi="宋体"/>
                <w:sz w:val="28"/>
                <w:szCs w:val="28"/>
              </w:rPr>
            </w:pPr>
            <w:r>
              <w:rPr>
                <w:rFonts w:ascii="黑体" w:hAnsi="黑体" w:eastAsia="黑体"/>
                <w:b/>
                <w:sz w:val="28"/>
                <w:szCs w:val="28"/>
              </w:rPr>
              <w:t>标志性成果</w:t>
            </w:r>
            <w:r>
              <w:rPr>
                <w:rFonts w:ascii="宋体" w:hAnsi="宋体"/>
                <w:sz w:val="28"/>
                <w:szCs w:val="28"/>
              </w:rPr>
              <w:t>（包括发表论文、发明专利、所获奖励等）</w:t>
            </w:r>
          </w:p>
          <w:p>
            <w:pPr>
              <w:numPr>
                <w:ilvl w:val="0"/>
                <w:numId w:val="1"/>
              </w:numPr>
              <w:spacing w:line="276" w:lineRule="auto"/>
              <w:jc w:val="left"/>
              <w:rPr>
                <w:rFonts w:ascii="Times New Roman" w:hAnsi="Times New Roman"/>
                <w:sz w:val="24"/>
              </w:rPr>
            </w:pPr>
            <w:r>
              <w:rPr>
                <w:rFonts w:ascii="Times New Roman" w:hAnsi="Times New Roman"/>
                <w:sz w:val="24"/>
              </w:rPr>
              <w:t xml:space="preserve">Ma Z, Zhu L, Song T, Wang Y, Zhang Q, Xia Y, Qiu M, Lin Y, Li H, Kong L, Fang Y, Ye W, Wang Y, Dong S, Zheng X, Tyler BM, Wang Y*. A paralogous decoy protects </w:t>
            </w:r>
            <w:r>
              <w:rPr>
                <w:rFonts w:ascii="Times New Roman" w:hAnsi="Times New Roman"/>
                <w:i/>
                <w:sz w:val="24"/>
              </w:rPr>
              <w:t xml:space="preserve">Phytophthora sojae </w:t>
            </w:r>
            <w:r>
              <w:rPr>
                <w:rFonts w:ascii="Times New Roman" w:hAnsi="Times New Roman"/>
                <w:sz w:val="24"/>
              </w:rPr>
              <w:t xml:space="preserve">apoplastic effector PsXEG1 from a host inhibitor. </w:t>
            </w:r>
            <w:r>
              <w:rPr>
                <w:rFonts w:ascii="Times New Roman" w:hAnsi="Times New Roman"/>
                <w:b/>
                <w:sz w:val="24"/>
              </w:rPr>
              <w:t>Science</w:t>
            </w:r>
            <w:r>
              <w:rPr>
                <w:rFonts w:ascii="Times New Roman" w:hAnsi="Times New Roman"/>
                <w:sz w:val="24"/>
              </w:rPr>
              <w:t xml:space="preserve"> 2017, 355(6326):710-714</w:t>
            </w:r>
            <w:r>
              <w:rPr>
                <w:rFonts w:hint="eastAsia" w:ascii="Times New Roman" w:hAnsi="Times New Roman"/>
                <w:sz w:val="24"/>
              </w:rPr>
              <w:t>.</w:t>
            </w:r>
            <w:r>
              <w:rPr>
                <w:rFonts w:ascii="Times New Roman" w:hAnsi="宋体"/>
                <w:sz w:val="24"/>
              </w:rPr>
              <w:t>（</w:t>
            </w:r>
            <w:r>
              <w:rPr>
                <w:rFonts w:ascii="Times New Roman" w:hAnsi="Times New Roman"/>
                <w:sz w:val="24"/>
              </w:rPr>
              <w:t>ESI</w:t>
            </w:r>
            <w:r>
              <w:rPr>
                <w:rFonts w:ascii="Times New Roman" w:hAnsi="宋体"/>
                <w:sz w:val="24"/>
              </w:rPr>
              <w:t>高引论文，</w:t>
            </w:r>
            <w:r>
              <w:rPr>
                <w:rFonts w:ascii="Times New Roman" w:hAnsi="Times New Roman"/>
                <w:sz w:val="24"/>
              </w:rPr>
              <w:t>Nature Chemical Biology</w:t>
            </w:r>
            <w:r>
              <w:rPr>
                <w:rFonts w:ascii="Times New Roman" w:hAnsi="宋体"/>
                <w:sz w:val="24"/>
              </w:rPr>
              <w:t>专文亮点评述，</w:t>
            </w:r>
            <w:r>
              <w:rPr>
                <w:rFonts w:ascii="Times New Roman" w:hAnsi="Times New Roman"/>
                <w:sz w:val="24"/>
              </w:rPr>
              <w:t>Trends in Plant Science</w:t>
            </w:r>
            <w:r>
              <w:rPr>
                <w:rFonts w:ascii="Times New Roman" w:hAnsi="宋体"/>
                <w:sz w:val="24"/>
              </w:rPr>
              <w:t>、</w:t>
            </w:r>
            <w:r>
              <w:rPr>
                <w:rFonts w:ascii="Times New Roman" w:hAnsi="Times New Roman"/>
                <w:sz w:val="24"/>
              </w:rPr>
              <w:t>Molecular Plant</w:t>
            </w:r>
            <w:r>
              <w:rPr>
                <w:rFonts w:ascii="Times New Roman" w:hAnsi="宋体"/>
                <w:sz w:val="24"/>
              </w:rPr>
              <w:t>等杂志评述）</w:t>
            </w:r>
          </w:p>
          <w:p>
            <w:pPr>
              <w:numPr>
                <w:ilvl w:val="0"/>
                <w:numId w:val="1"/>
              </w:numPr>
              <w:spacing w:before="156" w:beforeLines="50" w:line="276" w:lineRule="auto"/>
              <w:jc w:val="left"/>
              <w:rPr>
                <w:rFonts w:ascii="Times New Roman" w:hAnsi="Times New Roman"/>
                <w:sz w:val="24"/>
              </w:rPr>
            </w:pPr>
            <w:r>
              <w:rPr>
                <w:rFonts w:ascii="Times New Roman" w:hAnsi="Times New Roman"/>
                <w:sz w:val="24"/>
              </w:rPr>
              <w:t xml:space="preserve">Kong L, Qiu X, Kang J, Wang Y, Chen H, Huang J, Qiu M, Zhao Y, Kong G, Ma Z, Wang Y, Ye W, Dong S*, Ma W, Wang Y*. A </w:t>
            </w:r>
            <w:r>
              <w:rPr>
                <w:rFonts w:ascii="Times New Roman" w:hAnsi="Times New Roman"/>
                <w:i/>
                <w:sz w:val="24"/>
              </w:rPr>
              <w:t>Phytophthora</w:t>
            </w:r>
            <w:r>
              <w:rPr>
                <w:rFonts w:ascii="Times New Roman" w:hAnsi="Times New Roman"/>
                <w:sz w:val="24"/>
              </w:rPr>
              <w:t xml:space="preserve"> effector manipulates host histone acetylation and reprograms defense gene expression to promote infection. </w:t>
            </w:r>
            <w:r>
              <w:rPr>
                <w:rFonts w:ascii="Times New Roman" w:hAnsi="Times New Roman"/>
                <w:b/>
                <w:sz w:val="24"/>
              </w:rPr>
              <w:t xml:space="preserve">Current Biology </w:t>
            </w:r>
            <w:r>
              <w:rPr>
                <w:rFonts w:ascii="Times New Roman" w:hAnsi="Times New Roman"/>
                <w:sz w:val="24"/>
              </w:rPr>
              <w:t>2017, 27(7):981-991</w:t>
            </w:r>
            <w:r>
              <w:rPr>
                <w:rFonts w:hint="eastAsia" w:ascii="Times New Roman" w:hAnsi="Times New Roman"/>
                <w:sz w:val="24"/>
              </w:rPr>
              <w:t>.</w:t>
            </w:r>
          </w:p>
          <w:p>
            <w:pPr>
              <w:numPr>
                <w:ilvl w:val="0"/>
                <w:numId w:val="1"/>
              </w:numPr>
              <w:spacing w:before="156" w:beforeLines="50" w:line="276" w:lineRule="auto"/>
              <w:jc w:val="left"/>
              <w:rPr>
                <w:rFonts w:ascii="Times New Roman" w:hAnsi="Times New Roman"/>
                <w:sz w:val="24"/>
              </w:rPr>
            </w:pPr>
            <w:r>
              <w:rPr>
                <w:rFonts w:ascii="Times New Roman" w:hAnsi="Times New Roman"/>
                <w:sz w:val="24"/>
              </w:rPr>
              <w:t xml:space="preserve">Yang B, Wang Q, Jing M, Guo B, Wu J, Wang H, Wang Y, Lin L, Wang Y, Ye W, Dong S, Wang Y*. Distinct regions of the </w:t>
            </w:r>
            <w:r>
              <w:rPr>
                <w:rFonts w:ascii="Times New Roman" w:hAnsi="Times New Roman"/>
                <w:i/>
                <w:sz w:val="24"/>
              </w:rPr>
              <w:t>Phytophthora</w:t>
            </w:r>
            <w:r>
              <w:rPr>
                <w:rFonts w:ascii="Times New Roman" w:hAnsi="Times New Roman"/>
                <w:sz w:val="24"/>
              </w:rPr>
              <w:t xml:space="preserve"> essential effector Avh238 determine its function in cell death activation and plant immunity suppression. </w:t>
            </w:r>
            <w:r>
              <w:rPr>
                <w:rFonts w:ascii="Times New Roman" w:hAnsi="Times New Roman"/>
                <w:b/>
                <w:sz w:val="24"/>
              </w:rPr>
              <w:t xml:space="preserve">New Phytologist </w:t>
            </w:r>
            <w:r>
              <w:rPr>
                <w:rFonts w:ascii="Times New Roman" w:hAnsi="Times New Roman"/>
                <w:sz w:val="24"/>
              </w:rPr>
              <w:t>2017, 214(1):361-375</w:t>
            </w:r>
            <w:r>
              <w:rPr>
                <w:rFonts w:hint="eastAsia" w:ascii="Times New Roman" w:hAnsi="Times New Roman"/>
                <w:sz w:val="24"/>
              </w:rPr>
              <w:t>.</w:t>
            </w:r>
            <w:r>
              <w:rPr>
                <w:rFonts w:ascii="Times New Roman" w:hAnsi="宋体"/>
                <w:sz w:val="24"/>
              </w:rPr>
              <w:t>（封面推荐，同期专文评述）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0" w:hRule="atLeast"/>
          <w:jc w:val="center"/>
        </w:trPr>
        <w:tc>
          <w:tcPr>
            <w:tcW w:w="2731" w:type="dxa"/>
            <w:gridSpan w:val="2"/>
            <w:shd w:val="clear" w:color="auto" w:fill="auto"/>
            <w:vAlign w:val="center"/>
          </w:tcPr>
          <w:p>
            <w:pPr>
              <w:jc w:val="center"/>
              <w:rPr>
                <w:rFonts w:ascii="Times New Roman" w:hAnsi="Times New Roman" w:eastAsia="黑体"/>
                <w:b/>
                <w:sz w:val="28"/>
                <w:szCs w:val="28"/>
              </w:rPr>
            </w:pPr>
            <w:r>
              <w:rPr>
                <w:rFonts w:ascii="Times New Roman" w:hAnsi="黑体" w:eastAsia="黑体"/>
                <w:b/>
                <w:sz w:val="28"/>
                <w:szCs w:val="28"/>
              </w:rPr>
              <w:t>专业性推荐意见</w:t>
            </w:r>
          </w:p>
          <w:p>
            <w:pPr>
              <w:jc w:val="center"/>
              <w:rPr>
                <w:rFonts w:ascii="Times New Roman" w:hAnsi="Times New Roman" w:eastAsia="黑体"/>
                <w:b/>
                <w:sz w:val="28"/>
                <w:szCs w:val="28"/>
              </w:rPr>
            </w:pPr>
            <w:r>
              <w:rPr>
                <w:rFonts w:ascii="Times New Roman" w:hAnsi="宋体"/>
                <w:sz w:val="28"/>
                <w:szCs w:val="28"/>
              </w:rPr>
              <w:t>（限中文</w:t>
            </w:r>
            <w:r>
              <w:rPr>
                <w:rFonts w:ascii="Times New Roman" w:hAnsi="Times New Roman"/>
                <w:sz w:val="28"/>
                <w:szCs w:val="28"/>
              </w:rPr>
              <w:t>100</w:t>
            </w:r>
            <w:r>
              <w:rPr>
                <w:rFonts w:ascii="Times New Roman" w:hAnsi="宋体"/>
                <w:sz w:val="28"/>
                <w:szCs w:val="28"/>
              </w:rPr>
              <w:t>字）</w:t>
            </w:r>
          </w:p>
        </w:tc>
        <w:tc>
          <w:tcPr>
            <w:tcW w:w="6500" w:type="dxa"/>
            <w:gridSpan w:val="3"/>
            <w:shd w:val="clear" w:color="auto" w:fill="auto"/>
            <w:vAlign w:val="center"/>
          </w:tcPr>
          <w:p>
            <w:pPr>
              <w:adjustRightInd w:val="0"/>
              <w:snapToGrid w:val="0"/>
              <w:spacing w:before="156" w:beforeLines="50" w:after="156" w:afterLines="50" w:line="276" w:lineRule="auto"/>
              <w:ind w:firstLine="560" w:firstLineChars="200"/>
              <w:rPr>
                <w:rFonts w:ascii="Times New Roman" w:hAnsi="Times New Roman"/>
                <w:sz w:val="28"/>
                <w:szCs w:val="28"/>
              </w:rPr>
            </w:pPr>
            <w:r>
              <w:rPr>
                <w:rFonts w:ascii="Times New Roman" w:hAnsi="Times New Roman"/>
                <w:sz w:val="28"/>
                <w:szCs w:val="28"/>
              </w:rPr>
              <w:t>该研究提出的 “诱饵模式”， 是关于病原菌致病机制的全新概念，也是作物疫病发生机制的突破性成果。这是人类首次在更精准的层面认识病原菌与寄主互作的分子机理，为改良农作物的持久抗病性提供了新理论和新方向。</w:t>
            </w:r>
          </w:p>
        </w:tc>
      </w:tr>
    </w:tbl>
    <w:p>
      <w:pPr>
        <w:spacing w:line="360" w:lineRule="auto"/>
      </w:pPr>
    </w:p>
    <w:p>
      <w:pPr>
        <w:ind w:left="360"/>
        <w:jc w:val="center"/>
        <w:rPr>
          <w:rFonts w:ascii="Arial" w:hAnsi="Arial" w:eastAsia="黑体" w:cs="Arial"/>
          <w:szCs w:val="21"/>
        </w:rPr>
      </w:pPr>
      <w:r>
        <w:object>
          <v:shape id="_x0000_i1025" o:spt="75" type="#_x0000_t75" style="height:195.9pt;width:402.1pt;" o:ole="t" filled="f" o:preferrelative="t" stroked="f" coordsize="21600,21600">
            <v:path/>
            <v:fill on="f" focussize="0,0"/>
            <v:stroke on="f" joinstyle="miter"/>
            <v:imagedata r:id="rId5" o:title=""/>
            <o:lock v:ext="edit" aspectratio="t"/>
            <w10:wrap type="none"/>
            <w10:anchorlock/>
          </v:shape>
          <o:OLEObject Type="Embed" ProgID="PBrush" ShapeID="_x0000_i1025" DrawAspect="Content" ObjectID="_1468075725" r:id="rId4">
            <o:LockedField>false</o:LockedField>
          </o:OLEObject>
        </w:object>
      </w:r>
      <w:r>
        <w:rPr>
          <w:rFonts w:ascii="Arial" w:hAnsi="黑体" w:eastAsia="黑体" w:cs="Arial"/>
          <w:szCs w:val="21"/>
        </w:rPr>
        <w:t>疫霉菌分泌水解酶失活突变体</w:t>
      </w:r>
      <w:r>
        <w:rPr>
          <w:rFonts w:ascii="Arial" w:hAnsi="Arial" w:eastAsia="黑体" w:cs="Arial"/>
          <w:szCs w:val="21"/>
        </w:rPr>
        <w:t>XLP1</w:t>
      </w:r>
      <w:r>
        <w:rPr>
          <w:rFonts w:ascii="Arial" w:hAnsi="黑体" w:eastAsia="黑体" w:cs="Arial"/>
          <w:szCs w:val="21"/>
        </w:rPr>
        <w:t>作为分子诱饵吸引蛋白酶抑制子，</w:t>
      </w:r>
    </w:p>
    <w:p>
      <w:pPr>
        <w:spacing w:line="440" w:lineRule="exact"/>
        <w:ind w:left="360"/>
        <w:jc w:val="center"/>
        <w:rPr>
          <w:rFonts w:ascii="Arial" w:hAnsi="Arial" w:eastAsia="黑体" w:cs="Arial"/>
          <w:szCs w:val="21"/>
        </w:rPr>
      </w:pPr>
      <w:r>
        <w:rPr>
          <w:rFonts w:ascii="Arial" w:hAnsi="黑体" w:eastAsia="黑体" w:cs="Arial"/>
          <w:szCs w:val="21"/>
        </w:rPr>
        <w:t>掩护</w:t>
      </w:r>
      <w:r>
        <w:rPr>
          <w:rFonts w:hint="eastAsia" w:ascii="Arial" w:hAnsi="黑体" w:eastAsia="黑体" w:cs="Arial"/>
          <w:szCs w:val="21"/>
        </w:rPr>
        <w:t>糖基</w:t>
      </w:r>
      <w:r>
        <w:rPr>
          <w:rFonts w:ascii="Arial" w:hAnsi="黑体" w:eastAsia="黑体" w:cs="Arial"/>
          <w:szCs w:val="21"/>
        </w:rPr>
        <w:t>水解酶</w:t>
      </w:r>
      <w:r>
        <w:rPr>
          <w:rFonts w:ascii="Arial" w:hAnsi="Arial" w:eastAsia="黑体" w:cs="Arial"/>
          <w:szCs w:val="21"/>
        </w:rPr>
        <w:t>XEG1</w:t>
      </w:r>
      <w:r>
        <w:rPr>
          <w:rFonts w:ascii="Arial" w:hAnsi="黑体" w:eastAsia="黑体" w:cs="Arial"/>
          <w:szCs w:val="21"/>
        </w:rPr>
        <w:t>对植物的攻击（</w:t>
      </w:r>
      <w:r>
        <w:rPr>
          <w:rFonts w:ascii="Arial" w:hAnsi="Arial" w:eastAsia="黑体" w:cs="Arial"/>
          <w:szCs w:val="21"/>
        </w:rPr>
        <w:t>Ma et al. Science 2017</w:t>
      </w:r>
      <w:r>
        <w:rPr>
          <w:rFonts w:ascii="Arial" w:hAnsi="黑体" w:eastAsia="黑体" w:cs="Arial"/>
          <w:szCs w:val="21"/>
        </w:rPr>
        <w:t>）</w:t>
      </w:r>
    </w:p>
    <w:p>
      <w:pPr>
        <w:rPr>
          <w:rFonts w:ascii="Arial" w:hAnsi="Arial" w:eastAsia="黑体" w:cs="Aria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2557BF"/>
    <w:multiLevelType w:val="multilevel"/>
    <w:tmpl w:val="722557B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4D2"/>
    <w:rsid w:val="000624FF"/>
    <w:rsid w:val="0007352B"/>
    <w:rsid w:val="000918C6"/>
    <w:rsid w:val="000B180B"/>
    <w:rsid w:val="000D0188"/>
    <w:rsid w:val="00110BA5"/>
    <w:rsid w:val="00127B9B"/>
    <w:rsid w:val="00132B92"/>
    <w:rsid w:val="001931A4"/>
    <w:rsid w:val="001C1FBA"/>
    <w:rsid w:val="001C2599"/>
    <w:rsid w:val="001C5BD5"/>
    <w:rsid w:val="001E7A9C"/>
    <w:rsid w:val="001F192A"/>
    <w:rsid w:val="002111B5"/>
    <w:rsid w:val="0023547B"/>
    <w:rsid w:val="00246089"/>
    <w:rsid w:val="00246EC8"/>
    <w:rsid w:val="0025353B"/>
    <w:rsid w:val="00256FB9"/>
    <w:rsid w:val="002645EA"/>
    <w:rsid w:val="0027050E"/>
    <w:rsid w:val="002A3144"/>
    <w:rsid w:val="002A5444"/>
    <w:rsid w:val="002B6EB7"/>
    <w:rsid w:val="002C03DD"/>
    <w:rsid w:val="002C4016"/>
    <w:rsid w:val="002D3E73"/>
    <w:rsid w:val="002D56E7"/>
    <w:rsid w:val="003026E7"/>
    <w:rsid w:val="003064A2"/>
    <w:rsid w:val="003223E8"/>
    <w:rsid w:val="0038498F"/>
    <w:rsid w:val="003A3BD1"/>
    <w:rsid w:val="003B3FA4"/>
    <w:rsid w:val="003B59DC"/>
    <w:rsid w:val="003B6248"/>
    <w:rsid w:val="004034D9"/>
    <w:rsid w:val="00427268"/>
    <w:rsid w:val="00453646"/>
    <w:rsid w:val="004B73C6"/>
    <w:rsid w:val="004E750A"/>
    <w:rsid w:val="004F6A17"/>
    <w:rsid w:val="005008D4"/>
    <w:rsid w:val="00545230"/>
    <w:rsid w:val="005472A0"/>
    <w:rsid w:val="00547C53"/>
    <w:rsid w:val="005619B2"/>
    <w:rsid w:val="00583FB2"/>
    <w:rsid w:val="005A0088"/>
    <w:rsid w:val="005A1267"/>
    <w:rsid w:val="005B38FD"/>
    <w:rsid w:val="005F0BB5"/>
    <w:rsid w:val="00613FAC"/>
    <w:rsid w:val="00637BCC"/>
    <w:rsid w:val="00653F0B"/>
    <w:rsid w:val="00654152"/>
    <w:rsid w:val="00680F2F"/>
    <w:rsid w:val="006A73B3"/>
    <w:rsid w:val="006D19DC"/>
    <w:rsid w:val="006E39E5"/>
    <w:rsid w:val="006F5548"/>
    <w:rsid w:val="00717698"/>
    <w:rsid w:val="00735C8D"/>
    <w:rsid w:val="00752210"/>
    <w:rsid w:val="00766285"/>
    <w:rsid w:val="0078763B"/>
    <w:rsid w:val="007C76B4"/>
    <w:rsid w:val="0081001B"/>
    <w:rsid w:val="00831742"/>
    <w:rsid w:val="008364AF"/>
    <w:rsid w:val="0084613E"/>
    <w:rsid w:val="00857101"/>
    <w:rsid w:val="0086754B"/>
    <w:rsid w:val="00877106"/>
    <w:rsid w:val="008825D3"/>
    <w:rsid w:val="008B7964"/>
    <w:rsid w:val="008D0C1C"/>
    <w:rsid w:val="008D1087"/>
    <w:rsid w:val="00905205"/>
    <w:rsid w:val="0095268F"/>
    <w:rsid w:val="0095320C"/>
    <w:rsid w:val="009647E2"/>
    <w:rsid w:val="009729FC"/>
    <w:rsid w:val="00981690"/>
    <w:rsid w:val="0099010B"/>
    <w:rsid w:val="009E7C4E"/>
    <w:rsid w:val="00A12B5F"/>
    <w:rsid w:val="00A675EC"/>
    <w:rsid w:val="00A70DCB"/>
    <w:rsid w:val="00AC7652"/>
    <w:rsid w:val="00AF51EF"/>
    <w:rsid w:val="00B000F1"/>
    <w:rsid w:val="00B419DD"/>
    <w:rsid w:val="00B574D2"/>
    <w:rsid w:val="00BA1036"/>
    <w:rsid w:val="00BD5F59"/>
    <w:rsid w:val="00C16BA6"/>
    <w:rsid w:val="00C5208F"/>
    <w:rsid w:val="00C525A1"/>
    <w:rsid w:val="00C61273"/>
    <w:rsid w:val="00C7135D"/>
    <w:rsid w:val="00C92666"/>
    <w:rsid w:val="00CE7FA5"/>
    <w:rsid w:val="00CF32C0"/>
    <w:rsid w:val="00D23495"/>
    <w:rsid w:val="00D32FCB"/>
    <w:rsid w:val="00D419CF"/>
    <w:rsid w:val="00D42DA3"/>
    <w:rsid w:val="00D564A8"/>
    <w:rsid w:val="00DA266F"/>
    <w:rsid w:val="00DB00F8"/>
    <w:rsid w:val="00DB7241"/>
    <w:rsid w:val="00DF2590"/>
    <w:rsid w:val="00E12550"/>
    <w:rsid w:val="00E40E6A"/>
    <w:rsid w:val="00E81973"/>
    <w:rsid w:val="00EA2C93"/>
    <w:rsid w:val="00EA3B3F"/>
    <w:rsid w:val="00EA6B38"/>
    <w:rsid w:val="00ED7D94"/>
    <w:rsid w:val="00EE4835"/>
    <w:rsid w:val="00F04CED"/>
    <w:rsid w:val="00F20CC0"/>
    <w:rsid w:val="00F72466"/>
    <w:rsid w:val="00F749D6"/>
    <w:rsid w:val="00F911A8"/>
    <w:rsid w:val="00FD085B"/>
    <w:rsid w:val="00FE52AC"/>
    <w:rsid w:val="00FF3E2B"/>
    <w:rsid w:val="41D81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rFonts w:ascii="Calibri" w:hAnsi="Calibri" w:eastAsia="宋体" w:cs="Times New Roman"/>
      <w:sz w:val="18"/>
      <w:szCs w:val="18"/>
    </w:rPr>
  </w:style>
  <w:style w:type="character" w:customStyle="1" w:styleId="7">
    <w:name w:val="页脚 Char"/>
    <w:basedOn w:val="4"/>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798B-188D-4225-A4F5-402EC80ACD53}">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251</Words>
  <Characters>1433</Characters>
  <Lines>11</Lines>
  <Paragraphs>3</Paragraphs>
  <ScaleCrop>false</ScaleCrop>
  <LinksUpToDate>false</LinksUpToDate>
  <CharactersWithSpaces>1681</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2017-10-24T08:29:00Z</dcterms:created>
  <dc:creator>CRN</dc:creator>
  <cp:lastModifiedBy>离*落</cp:lastModifiedBy>
  <dcterms:modified xsi:type="dcterms:W3CDTF">2017-11-06T07:03:22Z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